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fill="082F66"/>
            <w:tcMar>
              <w:top w:w="250" w:type="dxa"/>
              <w:start w:w="220" w:type="dxa"/>
              <w:bottom w:w="250" w:type="dxa"/>
              <w:end w:w="22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44"/>
                <w:color w:val="FFFFFF"/>
              </w:rPr>
              <w:t>ЗАЯВКА НА ІНТЕГРАЦІЮ</w:t>
            </w:r>
          </w:p>
          <w:p>
            <w:pPr>
              <w:jc w:val="center"/>
            </w:pPr>
            <w:r>
              <w:rPr>
                <w:rFonts w:ascii="Liberation Sans" w:hAnsi="Liberation Sans"/>
                <w:sz w:val="22"/>
                <w:color w:val="B8D8F6"/>
              </w:rPr>
              <w:t>Мурашник Digital ОСББ</w:t>
            </w:r>
          </w:p>
        </w:tc>
      </w:tr>
    </w:tbl>
    <w:p>
      <w:pPr>
        <w:spacing w:before="560"/>
        <w:jc w:val="center"/>
      </w:pPr>
      <w:r>
        <w:drawing>
          <wp:inline xmlns:a="http://schemas.openxmlformats.org/drawingml/2006/main" xmlns:pic="http://schemas.openxmlformats.org/drawingml/2006/picture">
            <wp:extent cx="3312000" cy="29223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rashnik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12000" cy="2922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360"/>
        <w:jc w:val="center"/>
      </w:pPr>
      <w:r>
        <w:rPr>
          <w:rFonts w:ascii="Liberation Sans" w:hAnsi="Liberation Sans"/>
          <w:b/>
          <w:sz w:val="38"/>
          <w:color w:val="082F66"/>
        </w:rPr>
        <w:t>Інструкція з підключення та форма збору даних</w:t>
      </w:r>
    </w:p>
    <w:p>
      <w:pPr>
        <w:jc w:val="center"/>
      </w:pPr>
      <w:r>
        <w:rPr>
          <w:rFonts w:ascii="Liberation Sans" w:hAnsi="Liberation Sans"/>
          <w:sz w:val="22"/>
          <w:color w:val="5C6B7A"/>
        </w:rPr>
        <w:t>Для ОСББ, керуючих організацій та партнерів з інтеграції</w:t>
      </w:r>
    </w:p>
    <w:p>
      <w:pPr>
        <w:spacing w:before="480"/>
        <w:jc w:val="center"/>
      </w:pPr>
      <w:r>
        <w:rPr>
          <w:rFonts w:ascii="Liberation Sans" w:hAnsi="Liberation Sans"/>
          <w:sz w:val="20"/>
        </w:rPr>
        <w:t>Мета документа: швидко визначити склад підключення, джерела даних, відповідальних осіб, необхідні доступи та обсяг пілоту.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5669"/>
      </w:tblGrid>
      <w:tr>
        <w:tc>
          <w:tcPr>
            <w:tcW w:type="dxa" w:w="5046"/>
            <w:shd w:fill="EEF4FA"/>
            <w:tcMar>
              <w:top w:w="80" w:type="dxa"/>
              <w:start w:w="120" w:type="dxa"/>
              <w:bottom w:w="80" w:type="dxa"/>
              <w:end w:w="120" w:type="dxa"/>
            </w:tcMar>
            <w:tcBorders>
              <w:bottom w:val="single" w:sz="4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Версія</w:t>
            </w:r>
          </w:p>
        </w:tc>
        <w:tc>
          <w:tcPr>
            <w:tcW w:type="dxa" w:w="5046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tcBorders>
              <w:bottom w:val="single" w:sz="4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>1.0</w:t>
            </w:r>
          </w:p>
        </w:tc>
      </w:tr>
      <w:tr>
        <w:tc>
          <w:tcPr>
            <w:tcW w:type="dxa" w:w="5046"/>
            <w:shd w:fill="EEF4FA"/>
            <w:tcMar>
              <w:top w:w="80" w:type="dxa"/>
              <w:start w:w="120" w:type="dxa"/>
              <w:bottom w:w="80" w:type="dxa"/>
              <w:end w:w="120" w:type="dxa"/>
            </w:tcMar>
            <w:tcBorders>
              <w:bottom w:val="single" w:sz="4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Дата</w:t>
            </w:r>
          </w:p>
        </w:tc>
        <w:tc>
          <w:tcPr>
            <w:tcW w:type="dxa" w:w="5046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tcBorders>
              <w:bottom w:val="single" w:sz="4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>жовтень 2026</w:t>
            </w:r>
          </w:p>
        </w:tc>
      </w:tr>
      <w:tr>
        <w:tc>
          <w:tcPr>
            <w:tcW w:type="dxa" w:w="5046"/>
            <w:shd w:fill="EEF4FA"/>
            <w:tcMar>
              <w:top w:w="80" w:type="dxa"/>
              <w:start w:w="120" w:type="dxa"/>
              <w:bottom w:w="80" w:type="dxa"/>
              <w:end w:w="120" w:type="dxa"/>
            </w:tcMar>
            <w:tcBorders>
              <w:bottom w:val="single" w:sz="4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Статус</w:t>
            </w:r>
          </w:p>
        </w:tc>
        <w:tc>
          <w:tcPr>
            <w:tcW w:type="dxa" w:w="5046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tcBorders>
              <w:bottom w:val="single" w:sz="4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>для заповнення замовником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1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Як проходить інтеграція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Підключення виконується поетапно: спочатку фіксуємо склад даних і систем, потім налаштовуємо пілот і лише після приймання переносимо процес у production.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36000" cy="18635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gration_fl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186352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808"/>
      </w:tblGrid>
      <w:tr>
        <w:tc>
          <w:tcPr>
            <w:tcW w:type="dxa" w:w="5046"/>
            <w:shd w:fill="1478D4"/>
          </w:tcPr>
          <w:p/>
        </w:tc>
        <w:tc>
          <w:tcPr>
            <w:tcW w:type="dxa" w:w="5046"/>
            <w:shd w:fill="EEF6FD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1478D4"/>
              </w:rPr>
              <w:t>Ключовий принцип</w:t>
            </w:r>
          </w:p>
          <w:p>
            <w:pPr>
              <w:spacing w:before="40" w:after="0"/>
            </w:pPr>
            <w:r>
              <w:rPr>
                <w:rFonts w:ascii="Liberation Sans" w:hAnsi="Liberation Sans"/>
                <w:sz w:val="18"/>
                <w:color w:val="182433"/>
              </w:rPr>
              <w:t>Спочатку запускаємо контрольований пілот на одному будинку / групі квартир. Після звірки даних, ролей і фінансових підсумків масштабуємо на все ОСББ.</w:t>
            </w:r>
          </w:p>
        </w:tc>
      </w:tr>
    </w:tbl>
    <w:p>
      <w:pPr>
        <w:spacing w:after="40"/>
      </w:pPr>
    </w:p>
    <w:p>
      <w:r>
        <w:rPr>
          <w:rFonts w:ascii="Liberation Sans" w:hAnsi="Liberation Sans"/>
          <w:b/>
          <w:sz w:val="22"/>
        </w:rPr>
        <w:t>Учасники з боку замовника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10092"/>
            <w:gridSpan w:val="2"/>
            <w:shd w:fill="082F6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FFFFFF"/>
              </w:rPr>
              <w:t>Рекомендована команда інтеграції</w:t>
            </w:r>
          </w:p>
        </w:tc>
      </w:tr>
      <w:tr>
        <w:tc>
          <w:tcPr>
            <w:tcW w:type="dxa" w:w="5046"/>
            <w:shd w:fill="EEF4FA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Відповідальний за проєкт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координація, рішення, строки, приймання</w:t>
            </w:r>
          </w:p>
        </w:tc>
      </w:tr>
      <w:tr>
        <w:tc>
          <w:tcPr>
            <w:tcW w:type="dxa" w:w="5046"/>
            <w:shd w:fill="F6F9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Адміністратор ОСББ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структура будинків, квартири, ролі та користувачі</w:t>
            </w:r>
          </w:p>
        </w:tc>
      </w:tr>
      <w:tr>
        <w:tc>
          <w:tcPr>
            <w:tcW w:type="dxa" w:w="5046"/>
            <w:shd w:fill="EEF4FA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Бухгалтер / фінансовий спеціаліст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особові рахунки, нарахування, оплати, заборгованість</w:t>
            </w:r>
          </w:p>
        </w:tc>
      </w:tr>
      <w:tr>
        <w:tc>
          <w:tcPr>
            <w:tcW w:type="dxa" w:w="5046"/>
            <w:shd w:fill="F6F9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IT / поточний постачальник ПЗ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вивантаження, API, доступи, обмеження поточної системи</w:t>
            </w:r>
          </w:p>
        </w:tc>
      </w:tr>
      <w:tr>
        <w:tc>
          <w:tcPr>
            <w:tcW w:type="dxa" w:w="5046"/>
            <w:shd w:fill="EEF4FA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Відповідальний за персональні дані / юрист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підстави обробки даних, документи та погодження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2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Що підготувати до старту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Мінімальний набір інформації дає змогу оцінити складність інтеграції та сформувати технічний план.</w:t>
            </w:r>
          </w:p>
        </w:tc>
      </w:tr>
    </w:tbl>
    <w:p>
      <w:pPr>
        <w:spacing w:after="40"/>
      </w:pPr>
    </w:p>
    <w:p>
      <w:pPr>
        <w:spacing w:before="100" w:after="40"/>
      </w:pPr>
      <w:r>
        <w:rPr>
          <w:rFonts w:ascii="Liberation Sans" w:hAnsi="Liberation Sans"/>
          <w:b/>
          <w:sz w:val="21"/>
          <w:color w:val="082F66"/>
        </w:rPr>
        <w:t>Організація та об’єкти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повна назва ОСББ / керуючої компанії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реєстраційні та контактні дані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адреси будинків, під’їзди, квартири, площі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структура управління та відповідальні особи</w:t>
      </w:r>
    </w:p>
    <w:p>
      <w:pPr>
        <w:spacing w:before="100" w:after="40"/>
      </w:pPr>
      <w:r>
        <w:rPr>
          <w:rFonts w:ascii="Liberation Sans" w:hAnsi="Liberation Sans"/>
          <w:b/>
          <w:sz w:val="21"/>
          <w:color w:val="082F66"/>
        </w:rPr>
        <w:t>Мешканці та права доступу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список співвласників / мешканців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прив’язка користувача до квартири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контакти для запрошення: телефон та/або email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правила ролей: співвласник, мешканець, бухгалтер, адміністратор</w:t>
      </w:r>
    </w:p>
    <w:p>
      <w:pPr>
        <w:spacing w:before="100" w:after="40"/>
      </w:pPr>
      <w:r>
        <w:rPr>
          <w:rFonts w:ascii="Liberation Sans" w:hAnsi="Liberation Sans"/>
          <w:b/>
          <w:sz w:val="21"/>
          <w:color w:val="082F66"/>
        </w:rPr>
        <w:t>Фінанси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особові рахунки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нарахування за послугами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поточна заборгованість / переплата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історія оплат для звірки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банківські реквізити та платіжний провайдер</w:t>
      </w:r>
    </w:p>
    <w:p>
      <w:pPr>
        <w:spacing w:before="100" w:after="40"/>
      </w:pPr>
      <w:r>
        <w:rPr>
          <w:rFonts w:ascii="Liberation Sans" w:hAnsi="Liberation Sans"/>
          <w:b/>
          <w:sz w:val="21"/>
          <w:color w:val="082F66"/>
        </w:rPr>
        <w:t>Лічильники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тип лічильника, номер, квартира / об’єкт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останні показання та дата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одиниця вимірювання та період подання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правила перевірки аномальних показань</w:t>
      </w:r>
    </w:p>
    <w:p>
      <w:pPr>
        <w:spacing w:before="100" w:after="40"/>
      </w:pPr>
      <w:r>
        <w:rPr>
          <w:rFonts w:ascii="Liberation Sans" w:hAnsi="Liberation Sans"/>
          <w:b/>
          <w:sz w:val="21"/>
          <w:color w:val="082F66"/>
        </w:rPr>
        <w:t>Операційні дані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активні заявки та звернення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оголошення та документи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довідник підрядників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активні тендери / договори під час перенесення</w:t>
      </w:r>
    </w:p>
    <w:p>
      <w:pPr>
        <w:spacing w:before="100" w:after="40"/>
      </w:pPr>
      <w:r>
        <w:rPr>
          <w:rFonts w:ascii="Liberation Sans" w:hAnsi="Liberation Sans"/>
          <w:b/>
          <w:sz w:val="21"/>
          <w:color w:val="082F66"/>
        </w:rPr>
        <w:t>Технічне середовище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поточна облікова система / CRM / BAS / 1С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наявність API та документації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формати вивантаження CSV/XLSX/JSON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тестові доступи, мережеві обмеження, IP allowlist за потреби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808"/>
      </w:tblGrid>
      <w:tr>
        <w:tc>
          <w:tcPr>
            <w:tcW w:type="dxa" w:w="5046"/>
            <w:shd w:fill="082F66"/>
          </w:tcPr>
          <w:p/>
        </w:tc>
        <w:tc>
          <w:tcPr>
            <w:tcW w:type="dxa" w:w="5046"/>
            <w:shd w:fill="F5F8F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082F66"/>
              </w:rPr>
              <w:t>Важливо щодо персональних даних</w:t>
            </w:r>
          </w:p>
          <w:p>
            <w:pPr>
              <w:spacing w:before="40" w:after="0"/>
            </w:pPr>
            <w:r>
              <w:rPr>
                <w:rFonts w:ascii="Liberation Sans" w:hAnsi="Liberation Sans"/>
                <w:sz w:val="18"/>
                <w:color w:val="182433"/>
              </w:rPr>
              <w:t>Передавайте лише дані, необхідні для заявленого функціоналу. На етапі обстеження можна використовувати знеособлений приклад вивантаження. Production-дані передаються лише через погоджений захищений канал.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3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Архітектура обміну даними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Платформа підтримує поетапну міграцію: від первинного імпорту до автоматичного обміну через API та події.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36000" cy="268348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taflo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268348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808"/>
      </w:tblGrid>
      <w:tr>
        <w:tc>
          <w:tcPr>
            <w:tcW w:type="dxa" w:w="5046"/>
            <w:shd w:fill="1478D4"/>
          </w:tcPr>
          <w:p/>
        </w:tc>
        <w:tc>
          <w:tcPr>
            <w:tcW w:type="dxa" w:w="5046"/>
            <w:shd w:fill="EEF6FD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1478D4"/>
              </w:rPr>
              <w:t>Рекомендований підхід</w:t>
            </w:r>
          </w:p>
          <w:p>
            <w:pPr>
              <w:spacing w:before="40" w:after="0"/>
            </w:pPr>
            <w:r>
              <w:rPr>
                <w:rFonts w:ascii="Liberation Sans" w:hAnsi="Liberation Sans"/>
                <w:sz w:val="18"/>
                <w:color w:val="182433"/>
              </w:rPr>
              <w:t>Для MVP: первинне завантаження довідників через CSV/XLSX + регулярний обмін критичними подіями через API/webhooks. Після стабілізації можна автоматизувати решту потоків.</w:t>
            </w:r>
          </w:p>
        </w:tc>
      </w:tr>
    </w:tbl>
    <w:p>
      <w:pPr>
        <w:spacing w:after="40"/>
      </w:pPr>
    </w:p>
    <w:p>
      <w:r>
        <w:rPr>
          <w:rFonts w:ascii="Liberation Sans" w:hAnsi="Liberation Sans"/>
          <w:b/>
          <w:sz w:val="22"/>
        </w:rPr>
        <w:t>Правило майстер-даних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Для кожного набору даних заздалегідь фіксується джерело істини: наприклад, нарахування ведуться в обліковій системі, а заявки - у Digital ОСББ.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Двостороннє редагування одного й того самого об’єкта без правила пріоритету не допускається.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Усі інтеграційні операції повинні мати технічний ідентифікатор і журнал помилок для повторної обробки.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4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Матриця даних для інтеграції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Позначте готовність і доступний формат. Поля з пріоритетом MUST потрібні для базового запуску.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4422"/>
        <w:gridCol w:w="1474"/>
        <w:gridCol w:w="2268"/>
      </w:tblGrid>
      <w:tr>
        <w:trPr>
          <w:tblHeader w:val="true"/>
        </w:trPr>
        <w:tc>
          <w:tcPr>
            <w:tcW w:type="dxa" w:w="2523"/>
            <w:shd w:fill="082F6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Liberation Sans" w:hAnsi="Liberation Sans"/>
                <w:b/>
                <w:sz w:val="16"/>
                <w:color w:val="FFFFFF"/>
              </w:rPr>
              <w:t>Домен</w:t>
            </w:r>
          </w:p>
        </w:tc>
        <w:tc>
          <w:tcPr>
            <w:tcW w:type="dxa" w:w="2523"/>
            <w:shd w:fill="082F6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Liberation Sans" w:hAnsi="Liberation Sans"/>
                <w:b/>
                <w:sz w:val="16"/>
                <w:color w:val="FFFFFF"/>
              </w:rPr>
              <w:t>Що передати</w:t>
            </w:r>
          </w:p>
        </w:tc>
        <w:tc>
          <w:tcPr>
            <w:tcW w:type="dxa" w:w="2523"/>
            <w:shd w:fill="082F6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Liberation Sans" w:hAnsi="Liberation Sans"/>
                <w:b/>
                <w:sz w:val="16"/>
                <w:color w:val="FFFFFF"/>
              </w:rPr>
              <w:t>Пріоритет</w:t>
            </w:r>
          </w:p>
        </w:tc>
        <w:tc>
          <w:tcPr>
            <w:tcW w:type="dxa" w:w="2523"/>
            <w:shd w:fill="082F6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Liberation Sans" w:hAnsi="Liberation Sans"/>
                <w:b/>
                <w:sz w:val="16"/>
                <w:color w:val="FFFFFF"/>
              </w:rPr>
              <w:t>Формат / джерело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Організація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ID, назва, адреса, контакти, реквізити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082F66"/>
              </w:rPr>
              <w:t>MUST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анкета / CSV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Будинки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ID будинку, адреса, під’їзди, поверховість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082F66"/>
              </w:rPr>
              <w:t>MUST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Квартири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ID, номер, площа, під’їзд, особовий рахунок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082F66"/>
              </w:rPr>
              <w:t>MUST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Користувачі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ПІБ, роль, квартира, телефон/email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082F66"/>
              </w:rPr>
              <w:t>MUST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Власність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частка/площа, статус перевірки, представник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1478D4"/>
              </w:rPr>
              <w:t>SHOULD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Нарахування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період, послуга, сума, особовий рахунок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5C6B7A"/>
              </w:rPr>
              <w:t>MUST для фінансів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Платежі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дата, сума, призначення, транзакція, статус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5C6B7A"/>
              </w:rPr>
              <w:t>MUST для фінансів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API / банк / CSV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Заборгованість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залишок на дату запуску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5C6B7A"/>
              </w:rPr>
              <w:t>MUST для фінансів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Лічильники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тип, номер, об’єкт, останні показання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1478D4"/>
              </w:rPr>
              <w:t>SHOULD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Заявки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категорія, статус, виконавець, вкладення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5C6B7A"/>
              </w:rPr>
              <w:t>OPTIONAL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Документи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назва, категорія, файл, права доступу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5C6B7A"/>
              </w:rPr>
              <w:t>OPTIONAL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файли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Підрядники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профіль, категорії, документи, рейтинг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5C6B7A"/>
              </w:rPr>
              <w:t>OPTIONAL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FFFFF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  <w:tr>
        <w:tc>
          <w:tcPr>
            <w:tcW w:type="dxa" w:w="181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/>
                <w:sz w:val="15"/>
              </w:rPr>
              <w:t>Тендери</w:t>
            </w:r>
          </w:p>
        </w:tc>
        <w:tc>
          <w:tcPr>
            <w:tcW w:type="dxa" w:w="4422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опис, бюджет, строки, учасники, файли</w:t>
            </w:r>
          </w:p>
        </w:tc>
        <w:tc>
          <w:tcPr>
            <w:tcW w:type="dxa" w:w="1474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  <w:color w:val="5C6B7A"/>
              </w:rPr>
              <w:t>OPTIONAL</w:t>
            </w:r>
          </w:p>
        </w:tc>
        <w:tc>
          <w:tcPr>
            <w:tcW w:type="dxa" w:w="2268"/>
            <w:tcMar>
              <w:top w:w="70" w:type="dxa"/>
              <w:start w:w="85" w:type="dxa"/>
              <w:bottom w:w="70" w:type="dxa"/>
              <w:end w:w="85" w:type="dxa"/>
            </w:tcMar>
            <w:shd w:fill="F8FAFC"/>
            <w:tcBorders>
              <w:bottom w:val="single" w:sz="3" w:color="D9E2EC"/>
            </w:tcBorders>
          </w:tcPr>
          <w:p>
            <w:r>
              <w:rPr>
                <w:rFonts w:ascii="Liberation Sans" w:hAnsi="Liberation Sans"/>
                <w:b w:val="0"/>
                <w:sz w:val="15"/>
              </w:rPr>
              <w:t>CSV / API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808"/>
      </w:tblGrid>
      <w:tr>
        <w:tc>
          <w:tcPr>
            <w:tcW w:type="dxa" w:w="5046"/>
            <w:shd w:fill="082F66"/>
          </w:tcPr>
          <w:p/>
        </w:tc>
        <w:tc>
          <w:tcPr>
            <w:tcW w:type="dxa" w:w="5046"/>
            <w:shd w:fill="F5F8F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082F66"/>
              </w:rPr>
              <w:t>Шаблони імпорту</w:t>
            </w:r>
          </w:p>
          <w:p>
            <w:pPr>
              <w:spacing w:before="40" w:after="0"/>
            </w:pPr>
            <w:r>
              <w:rPr>
                <w:rFonts w:ascii="Liberation Sans" w:hAnsi="Liberation Sans"/>
                <w:sz w:val="18"/>
                <w:color w:val="182433"/>
              </w:rPr>
              <w:t>Після первинного обстеження команда Digital ОСББ надає шаблони колонок для CSV/XLSX. До завантаження виконуються перевірки унікальності ID, обов’язкових полів, кодувань, дат і сум.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5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Технічні способи інтеграції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Обираються відповідно до можливостей поточної системи та критичності оновлення даних.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10092"/>
            <w:gridSpan w:val="2"/>
            <w:shd w:fill="082F66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FFFFFF"/>
              </w:rPr>
              <w:t>Підтримувані сценарії</w:t>
            </w:r>
          </w:p>
        </w:tc>
      </w:tr>
      <w:tr>
        <w:tc>
          <w:tcPr>
            <w:tcW w:type="dxa" w:w="5046"/>
            <w:shd w:fill="EEF4FA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CSV / XLSX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первинна міграція, разові масові завантаження, звірка довідників</w:t>
            </w:r>
          </w:p>
        </w:tc>
      </w:tr>
      <w:tr>
        <w:tc>
          <w:tcPr>
            <w:tcW w:type="dxa" w:w="5046"/>
            <w:shd w:fill="F6F9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REST API / JSON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регулярний двосторонній обмін, запити за сутностями, зміна статусів</w:t>
            </w:r>
          </w:p>
        </w:tc>
      </w:tr>
      <w:tr>
        <w:tc>
          <w:tcPr>
            <w:tcW w:type="dxa" w:w="5046"/>
            <w:shd w:fill="EEF4FA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Webhooks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сповіщення про події: новий платіж, зміна заявки, оновлення тендера</w:t>
            </w:r>
          </w:p>
        </w:tc>
      </w:tr>
      <w:tr>
        <w:tc>
          <w:tcPr>
            <w:tcW w:type="dxa" w:w="5046"/>
            <w:shd w:fill="F6F9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SFTP / захищена папка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регламентні пакетні вивантаження, коли API недоступний</w:t>
            </w:r>
          </w:p>
        </w:tc>
      </w:tr>
      <w:tr>
        <w:tc>
          <w:tcPr>
            <w:tcW w:type="dxa" w:w="5046"/>
            <w:shd w:fill="EEF4FA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b/>
                <w:sz w:val="17"/>
              </w:rPr>
              <w:t>Ручне введення в адмінпанелі</w:t>
            </w:r>
          </w:p>
        </w:tc>
        <w:tc>
          <w:tcPr>
            <w:tcW w:type="dxa" w:w="5046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D9E2EC"/>
            </w:tcBorders>
            <w:vAlign w:val="center"/>
          </w:tcPr>
          <w:p>
            <w:r>
              <w:rPr>
                <w:rFonts w:ascii="Liberation Sans" w:hAnsi="Liberation Sans"/>
                <w:sz w:val="17"/>
              </w:rPr>
              <w:t>поодинокі коригування та дані без зовнішнього джерела</w:t>
            </w:r>
          </w:p>
        </w:tc>
      </w:tr>
    </w:tbl>
    <w:p>
      <w:pPr>
        <w:spacing w:before="160"/>
      </w:pPr>
      <w:r>
        <w:rPr>
          <w:rFonts w:ascii="Liberation Sans" w:hAnsi="Liberation Sans"/>
          <w:b/>
          <w:sz w:val="22"/>
        </w:rPr>
        <w:t>Що надати для API-інтеграції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посилання на API-документацію / OpenAPI, якщо існує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base URL для test і production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тип авторизації: OAuth2, API key, JWT, Basic - за можливості без спільних облікових записів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перелік дозволених endpoint та лімітів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спосіб ідентифікації об’єктів: зовнішні ID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формат дат, валюти, числових полів, timezone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політика помилок, retries і rate limits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контакти технічного власника інтеграції</w:t>
      </w:r>
    </w:p>
    <w:p>
      <w:r>
        <w:rPr>
          <w:rFonts w:ascii="Liberation Sans" w:hAnsi="Liberation Sans"/>
          <w:b/>
          <w:sz w:val="22"/>
        </w:rPr>
        <w:t>Мінімальні вимоги до даних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Стабільний зовнішній ID для кожної сутності - будинок, квартира, особовий рахунок, користувач, транзакція.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Єдине кодування та єдиний формат дат / часу в усіх вивантаженнях.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Суми передаються числом із явно вказаною валютою; статуси - за узгодженим довідником.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Для файлів передаються назва, MIME-type, розмір і посилання/ідентифікатор; великі вкладення не передаються в JSON body.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808"/>
      </w:tblGrid>
      <w:tr>
        <w:tc>
          <w:tcPr>
            <w:tcW w:type="dxa" w:w="5046"/>
            <w:shd w:fill="1478D4"/>
          </w:tcPr>
          <w:p/>
        </w:tc>
        <w:tc>
          <w:tcPr>
            <w:tcW w:type="dxa" w:w="5046"/>
            <w:shd w:fill="EEF6FD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1478D4"/>
              </w:rPr>
              <w:t>Версіонування</w:t>
            </w:r>
          </w:p>
          <w:p>
            <w:pPr>
              <w:spacing w:before="40" w:after="0"/>
            </w:pPr>
            <w:r>
              <w:rPr>
                <w:rFonts w:ascii="Liberation Sans" w:hAnsi="Liberation Sans"/>
                <w:sz w:val="18"/>
                <w:color w:val="182433"/>
              </w:rPr>
              <w:t>Усі автоматичні інтеграції мають працювати через версіонований контракт API. Зміна структури без попереднього повідомлення вважається breaking change.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6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Доступи, безпека та тестування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До production відокремлюємо тестове середовище, технічні облікові записи та реальні персональні дані.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Liberation Sans" w:hAnsi="Liberation Sans"/>
          <w:b/>
          <w:sz w:val="20"/>
        </w:rPr>
        <w:t>Середовища та доступи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Test / sandbox середовище замовника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Production endpoint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Окремий сервісний обліковий запис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IP allowlist / VPN за потреби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Секрети передаються захищеним каналом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Контакт для ротації ключів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Liberation Sans" w:hAnsi="Liberation Sans"/>
          <w:b/>
          <w:sz w:val="20"/>
        </w:rPr>
        <w:t>Захист і контроль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TLS для всіх каналів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Мінімально необхідні права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Логування інтеграційних операцій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Журнал змін критичних даних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Резервне копіювання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Процедура блокування доступу</w:t>
            </w:r>
          </w:p>
        </w:tc>
      </w:tr>
    </w:tbl>
    <w:p>
      <w:pPr>
        <w:spacing w:before="160"/>
      </w:pPr>
      <w:r>
        <w:rPr>
          <w:rFonts w:ascii="Liberation Sans" w:hAnsi="Liberation Sans"/>
          <w:b/>
          <w:sz w:val="22"/>
        </w:rPr>
        <w:t>План тестування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1. Структура: будинки, квартири, особові рахунки, ролі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2. Звірка фінансів: контрольні нарахування, платежі, залишки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3. Події: створення заявки, оплата, сповіщення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4. Мінімальне навантажувальне тестування: масовий імпорт / пакет подій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5. Помилки: невалідні записи, повтор, недоступність зовнішньої системи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• 6. Приймання: підписаний контрольний список і дозвіл на production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808"/>
      </w:tblGrid>
      <w:tr>
        <w:tc>
          <w:tcPr>
            <w:tcW w:type="dxa" w:w="5046"/>
            <w:shd w:fill="082F66"/>
          </w:tcPr>
          <w:p/>
        </w:tc>
        <w:tc>
          <w:tcPr>
            <w:tcW w:type="dxa" w:w="5046"/>
            <w:shd w:fill="F5F8F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082F66"/>
              </w:rPr>
              <w:t>Межа відповідальності</w:t>
            </w:r>
          </w:p>
          <w:p>
            <w:pPr>
              <w:spacing w:before="40" w:after="0"/>
            </w:pPr>
            <w:r>
              <w:rPr>
                <w:rFonts w:ascii="Liberation Sans" w:hAnsi="Liberation Sans"/>
                <w:sz w:val="18"/>
                <w:color w:val="182433"/>
              </w:rPr>
              <w:t>Digital ОСББ відповідає за коректну обробку даних на своєму боці. Замовник відповідає за коректність вихідних даних, права на їх передавання та стабільність наданого зовнішнього інтерфейсу.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7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Форма заявки - організація та об’єкт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Заповніть максимально повно. Якщо поле не застосовується, зазначте «немає».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690"/>
      </w:tblGrid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Назва організації / ОСББ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ЄДРПОУ / реєстраційний номер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Юридична адреса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Фактична адреса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ПІБ відповідального за інтеграцію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Посада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Телефон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Email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Технічний контакт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Фінансовий контакт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</w:tbl>
    <w:p/>
    <w:p>
      <w:r>
        <w:rPr>
          <w:rFonts w:ascii="Liberation Sans" w:hAnsi="Liberation Sans"/>
          <w:b/>
          <w:sz w:val="22"/>
        </w:rPr>
        <w:t>Масштаб підключення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690"/>
      </w:tblGrid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Кількість будинків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Кількість під’їздів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Кількість квартир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Орієнтовна кількість користувачів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Пілотний будинок / адреса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Бажана дата пілоту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</w:tbl>
    <w:p/>
    <w:p>
      <w:pPr>
        <w:spacing w:after="80"/>
      </w:pPr>
      <w:r>
        <w:rPr>
          <w:rFonts w:ascii="Liberation Sans" w:hAnsi="Liberation Sans"/>
          <w:b/>
          <w:sz w:val="20"/>
        </w:rPr>
        <w:t>Ролі в пілоті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Адміністратор ОСББ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Бухгалтер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Мешканець / співвласник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Диспетчер / майстер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Підрядник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Super Admin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8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Форма заявки - системи, модулі та обмін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Ця сторінка використовується для оцінки інтеграційних робіт і складу першого релізу.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Liberation Sans" w:hAnsi="Liberation Sans"/>
          <w:b/>
          <w:sz w:val="20"/>
        </w:rPr>
        <w:t>Які модулі підключаємо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Будинки / квартири / мешканці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Нарахування та платежі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Лічильники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Заявки / обслуговування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Документи / оголошення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Голосування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Тендери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Board послуг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Підрядники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Сповіщення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Аналітика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Інше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690"/>
      </w:tblGrid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Поточна облікова система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Версія / постачальник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Є API? посилання на документацію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Є тестове середовище?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Доступний формат вивантаження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Частота оновлення даних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Платіжний провайдер / банк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Канали сповіщень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Потрібен SSO? який провайдер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Обмеження мережі / VPN / allowlist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</w:tbl>
    <w:p/>
    <w:p>
      <w:pPr>
        <w:spacing w:after="80"/>
      </w:pPr>
      <w:r>
        <w:rPr>
          <w:rFonts w:ascii="Liberation Sans" w:hAnsi="Liberation Sans"/>
          <w:b/>
          <w:sz w:val="20"/>
        </w:rPr>
        <w:t>Готовність даних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Будинки / квартири готові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Мешканці готові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Особові рахунки готові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Нарахування готові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Платежі готові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Лічильники готові</w:t>
            </w:r>
          </w:p>
        </w:tc>
      </w:tr>
      <w:tr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Документи готові</w:t>
            </w:r>
          </w:p>
        </w:tc>
        <w:tc>
          <w:tcPr>
            <w:tcW w:type="dxa" w:w="5046"/>
            <w:shd w:fill="F7FAFD"/>
            <w:tcMar>
              <w:top w:w="80" w:type="dxa"/>
              <w:start w:w="110" w:type="dxa"/>
              <w:bottom w:w="80" w:type="dxa"/>
              <w:end w:w="110" w:type="dxa"/>
            </w:tcMar>
            <w:tcBorders>
              <w:bottom w:val="single" w:sz="3" w:color="E7EDF3"/>
            </w:tcBorders>
          </w:tcPr>
          <w:p>
            <w:r>
              <w:rPr>
                <w:rFonts w:ascii="Liberation Sans" w:hAnsi="Liberation Sans"/>
                <w:sz w:val="17"/>
              </w:rPr>
              <w:t>□  Підрядники / тендери готові</w:t>
            </w:r>
          </w:p>
        </w:tc>
      </w:tr>
    </w:tbl>
    <w:p>
      <w:pPr>
        <w:spacing w:before="140"/>
      </w:pPr>
      <w:r>
        <w:rPr>
          <w:rFonts w:ascii="Liberation Sans" w:hAnsi="Liberation Sans"/>
          <w:b/>
          <w:sz w:val="20"/>
        </w:rPr>
        <w:t>Коментар / особливості процесу</w:t>
      </w:r>
    </w:p>
    <w:p>
      <w:pPr>
        <w:spacing w:after="20"/>
      </w:pPr>
      <w:r>
        <w:t>____________________________________________________________________</w:t>
      </w:r>
    </w:p>
    <w:p>
      <w:pPr>
        <w:spacing w:after="20"/>
      </w:pPr>
      <w:r>
        <w:t>____________________________________________________________________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071"/>
      </w:tblGrid>
      <w:tr>
        <w:tc>
          <w:tcPr>
            <w:tcW w:type="dxa" w:w="5046"/>
            <w:shd w:fill="082F66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sz w:val="34"/>
                <w:color w:val="FFFFFF"/>
              </w:rPr>
              <w:t>9</w:t>
            </w:r>
          </w:p>
        </w:tc>
        <w:tc>
          <w:tcPr>
            <w:tcW w:type="dxa" w:w="5046"/>
            <w:shd w:fill="F5F8FC"/>
            <w:tcMar>
              <w:top w:w="110" w:type="dxa"/>
              <w:start w:w="160" w:type="dxa"/>
              <w:bottom w:w="11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36"/>
                <w:color w:val="082F66"/>
              </w:rPr>
              <w:t>Контрольний список перед запуском</w:t>
            </w:r>
          </w:p>
          <w:p>
            <w:pPr>
              <w:spacing w:before="20" w:after="0"/>
            </w:pPr>
            <w:r>
              <w:rPr>
                <w:rFonts w:ascii="Liberation Sans" w:hAnsi="Liberation Sans"/>
                <w:sz w:val="18"/>
                <w:color w:val="5C6B7A"/>
              </w:rPr>
              <w:t>Використовується спільно під час приймання пілоту.</w:t>
            </w:r>
          </w:p>
        </w:tc>
      </w:tr>
    </w:tbl>
    <w:p>
      <w:pPr>
        <w:spacing w:after="40"/>
      </w:pP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Створено tenant ОСББ і базові ролі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Завантажено будинки, під’їзди та квартири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Перевірено прив’язку користувачів до об’єктів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Звірено особові рахунки та залишки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Перевірено нарахування за контрольний період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Перевірено платежі та статуси транзакцій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Перевірено передавання показань лічильників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Перевірено заявки та сповіщення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Налаштовано права доступу до документів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Перевірено сценарії голосувань / тендерів, якщо вони входять до scope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Налаштовано резервне копіювання та журнал подій</w:t>
      </w:r>
    </w:p>
    <w:p>
      <w:pPr>
        <w:spacing w:after="40"/>
        <w:ind w:left="283" w:hanging="170"/>
      </w:pPr>
      <w:r>
        <w:rPr>
          <w:rFonts w:ascii="Liberation Sans" w:hAnsi="Liberation Sans"/>
          <w:sz w:val="18"/>
        </w:rPr>
        <w:t>□ Підтверджено production-конфігурацію та відповідальних осіб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808"/>
      </w:tblGrid>
      <w:tr>
        <w:tc>
          <w:tcPr>
            <w:tcW w:type="dxa" w:w="5046"/>
            <w:shd w:fill="1478D4"/>
          </w:tcPr>
          <w:p/>
        </w:tc>
        <w:tc>
          <w:tcPr>
            <w:tcW w:type="dxa" w:w="5046"/>
            <w:shd w:fill="EEF6FD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1478D4"/>
              </w:rPr>
              <w:t>Критерій готовності</w:t>
            </w:r>
          </w:p>
          <w:p>
            <w:pPr>
              <w:spacing w:before="40" w:after="0"/>
            </w:pPr>
            <w:r>
              <w:rPr>
                <w:rFonts w:ascii="Liberation Sans" w:hAnsi="Liberation Sans"/>
                <w:sz w:val="18"/>
                <w:color w:val="182433"/>
              </w:rPr>
              <w:t>Production-запуск виконується після того, як контрольні суми та ключові користувацькі сценарії збігаються з погодженими даними, а відповідальні особи підтвердили приймання пілоту.</w:t>
            </w:r>
          </w:p>
        </w:tc>
      </w:tr>
    </w:tbl>
    <w:p>
      <w:pPr>
        <w:spacing w:after="40"/>
      </w:pPr>
    </w:p>
    <w:p>
      <w:pPr>
        <w:spacing w:before="200"/>
      </w:pPr>
      <w:r>
        <w:rPr>
          <w:rFonts w:ascii="Liberation Sans" w:hAnsi="Liberation Sans"/>
          <w:b/>
          <w:sz w:val="24"/>
        </w:rPr>
        <w:t>Підтвердження заявки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6690"/>
      </w:tblGrid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Організація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ПІБ / посада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Дата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Підпис / погодження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3288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b/>
                <w:sz w:val="17"/>
              </w:rPr>
              <w:t>Контакт для зворотного зв’язку</w:t>
            </w:r>
          </w:p>
        </w:tc>
        <w:tc>
          <w:tcPr>
            <w:tcW w:type="dxa" w:w="669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bottom w:val="single" w:sz="5" w:color="D9E2EC"/>
            </w:tcBorders>
          </w:tcPr>
          <w:p>
            <w:r>
              <w:rPr>
                <w:rFonts w:ascii="Liberation Sans" w:hAnsi="Liberation Sans"/>
                <w:sz w:val="17"/>
              </w:rPr>
              <w:t xml:space="preserve"> </w:t>
            </w:r>
            <w:r>
              <w:rPr>
                <w:sz w:val="14"/>
              </w:rPr>
              <w:t>________________________________________________________________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"/>
        <w:gridCol w:w="9808"/>
      </w:tblGrid>
      <w:tr>
        <w:tc>
          <w:tcPr>
            <w:tcW w:type="dxa" w:w="5046"/>
            <w:shd w:fill="082F66"/>
          </w:tcPr>
          <w:p/>
        </w:tc>
        <w:tc>
          <w:tcPr>
            <w:tcW w:type="dxa" w:w="5046"/>
            <w:shd w:fill="F5F8F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Liberation Sans" w:hAnsi="Liberation Sans"/>
                <w:b/>
                <w:sz w:val="20"/>
                <w:color w:val="082F66"/>
              </w:rPr>
              <w:t>Як передати заявку</w:t>
            </w:r>
          </w:p>
          <w:p>
            <w:pPr>
              <w:spacing w:before="40" w:after="0"/>
            </w:pPr>
            <w:r>
              <w:rPr>
                <w:rFonts w:ascii="Liberation Sans" w:hAnsi="Liberation Sans"/>
                <w:sz w:val="18"/>
                <w:color w:val="182433"/>
              </w:rPr>
              <w:t>1) Заповніть сторінки 8-9.  2) Додайте приклад вивантаження без зайвих персональних даних.  3) Передайте документ менеджеру проєкту Digital ОСББ погодженим каналом.  4) Після обстеження буде підготовлено Integration Scope: перелік інтерфейсів, шаблонів, відповідальних осіб і критеріїв приймання.</w:t>
            </w:r>
          </w:p>
        </w:tc>
      </w:tr>
    </w:tbl>
    <w:p>
      <w:pPr>
        <w:spacing w:after="40"/>
      </w:pPr>
    </w:p>
    <w:p>
      <w:pPr>
        <w:spacing w:before="240"/>
        <w:jc w:val="center"/>
      </w:pPr>
      <w:r>
        <w:rPr>
          <w:rFonts w:ascii="Liberation Sans" w:hAnsi="Liberation Sans"/>
          <w:b/>
          <w:sz w:val="28"/>
          <w:color w:val="082F66"/>
        </w:rPr>
        <w:t>Мурашник Digital ОСББ</w:t>
      </w:r>
    </w:p>
    <w:p>
      <w:pPr>
        <w:jc w:val="center"/>
      </w:pPr>
      <w:r>
        <w:rPr>
          <w:rFonts w:ascii="Liberation Sans" w:hAnsi="Liberation Sans"/>
          <w:sz w:val="17"/>
          <w:color w:val="5C6B7A"/>
        </w:rPr>
        <w:t>Цифрова екосистема управління будинком: мешканці, адміністрація, підрядники та сервіси в єдиному контурі.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907" w:bottom="737" w:left="907" w:header="283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Liberation Sans" w:hAnsi="Liberation Sans"/>
        <w:sz w:val="15"/>
        <w:color w:val="5C6B7A"/>
      </w:rPr>
      <w:t>Мурашник Digital ОСББ  |  Заявка на інтеграцію v1.0  |  2026</w:t>
    </w:r>
  </w:p>
  <w:p>
    <w:pPr>
      <w:jc w:val="right"/>
    </w:pPr>
    <w:r>
      <w:t xml:space="preserve">Стор.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154"/>
      <w:gridCol w:w="7937"/>
    </w:tblGrid>
    <w:tr>
      <w:tc>
        <w:tcPr>
          <w:tcW w:type="dxa" w:w="5046"/>
          <w:tcMar>
            <w:top w:w="40" w:type="dxa"/>
            <w:start w:w="30" w:type="dxa"/>
            <w:bottom w:w="40" w:type="dxa"/>
            <w:end w:w="30" w:type="dxa"/>
          </w:tcMar>
          <w:tcBorders>
            <w:bottom w:val="single" w:sz="8" w:color="1478D4"/>
          </w:tcBorders>
        </w:tcPr>
        <w:p>
          <w:r>
            <w:drawing>
              <wp:inline xmlns:a="http://schemas.openxmlformats.org/drawingml/2006/main" xmlns:pic="http://schemas.openxmlformats.org/drawingml/2006/picture">
                <wp:extent cx="1116000" cy="98470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urashnik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000" cy="98470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6"/>
          <w:tcMar>
            <w:top w:w="40" w:type="dxa"/>
            <w:start w:w="30" w:type="dxa"/>
            <w:bottom w:w="40" w:type="dxa"/>
            <w:end w:w="30" w:type="dxa"/>
          </w:tcMar>
          <w:tcBorders>
            <w:bottom w:val="single" w:sz="8" w:color="1478D4"/>
          </w:tcBorders>
        </w:tcPr>
        <w:p>
          <w:pPr>
            <w:jc w:val="right"/>
          </w:pPr>
          <w:r>
            <w:rPr>
              <w:rFonts w:ascii="Liberation Sans" w:hAnsi="Liberation Sans"/>
              <w:b/>
              <w:sz w:val="16"/>
              <w:color w:val="082F66"/>
            </w:rPr>
            <w:t>ІНТЕГРАЦІЙНИЙ ПАКЕТ  |  ЗАЯВКА НА ІНТЕГРАЦІЮ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Liberation Sans" w:hAnsi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sz w:val="38"/>
      <w:szCs w:val="28"/>
      <w:color w:val="082F6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sz w:val="26"/>
      <w:szCs w:val="26"/>
      <w:color w:val="1478D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/>
      <w:b/>
      <w:bCs/>
      <w:sz w:val="21"/>
      <w:color w:val="082F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spacing w:val="5"/>
      <w:kern w:val="28"/>
      <w:sz w:val="56"/>
      <w:szCs w:val="52"/>
      <w:color w:val="082F6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